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0DD626B0"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780C5B">
          <w:rPr>
            <w:noProof/>
            <w:webHidden/>
          </w:rPr>
          <w:t>4</w:t>
        </w:r>
        <w:r w:rsidR="00DD3144">
          <w:rPr>
            <w:noProof/>
            <w:webHidden/>
          </w:rPr>
          <w:fldChar w:fldCharType="end"/>
        </w:r>
      </w:hyperlink>
    </w:p>
    <w:p w14:paraId="649DCDC2" w14:textId="196BCD7D"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780C5B">
          <w:rPr>
            <w:noProof/>
            <w:webHidden/>
          </w:rPr>
          <w:t>9</w:t>
        </w:r>
        <w:r>
          <w:rPr>
            <w:noProof/>
            <w:webHidden/>
          </w:rPr>
          <w:fldChar w:fldCharType="end"/>
        </w:r>
      </w:hyperlink>
    </w:p>
    <w:p w14:paraId="14EB7B59" w14:textId="20E4AA61"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780C5B">
          <w:rPr>
            <w:noProof/>
            <w:webHidden/>
          </w:rPr>
          <w:t>9</w:t>
        </w:r>
        <w:r>
          <w:rPr>
            <w:noProof/>
            <w:webHidden/>
          </w:rPr>
          <w:fldChar w:fldCharType="end"/>
        </w:r>
      </w:hyperlink>
    </w:p>
    <w:p w14:paraId="28E7C014" w14:textId="7A793EB8"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780C5B">
          <w:rPr>
            <w:noProof/>
            <w:webHidden/>
          </w:rPr>
          <w:t>14</w:t>
        </w:r>
        <w:r>
          <w:rPr>
            <w:noProof/>
            <w:webHidden/>
          </w:rPr>
          <w:fldChar w:fldCharType="end"/>
        </w:r>
      </w:hyperlink>
    </w:p>
    <w:p w14:paraId="5DC08253" w14:textId="699355C3"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780C5B">
          <w:rPr>
            <w:noProof/>
            <w:webHidden/>
          </w:rPr>
          <w:t>26</w:t>
        </w:r>
        <w:r>
          <w:rPr>
            <w:noProof/>
            <w:webHidden/>
          </w:rPr>
          <w:fldChar w:fldCharType="end"/>
        </w:r>
      </w:hyperlink>
    </w:p>
    <w:p w14:paraId="3D5499CC" w14:textId="530D8C62"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780C5B">
          <w:rPr>
            <w:noProof/>
            <w:webHidden/>
          </w:rPr>
          <w:t>28</w:t>
        </w:r>
        <w:r>
          <w:rPr>
            <w:noProof/>
            <w:webHidden/>
          </w:rPr>
          <w:fldChar w:fldCharType="end"/>
        </w:r>
      </w:hyperlink>
    </w:p>
    <w:p w14:paraId="719CF34F" w14:textId="35DAC18F"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780C5B">
          <w:rPr>
            <w:noProof/>
            <w:webHidden/>
          </w:rPr>
          <w:t>28</w:t>
        </w:r>
        <w:r>
          <w:rPr>
            <w:noProof/>
            <w:webHidden/>
          </w:rPr>
          <w:fldChar w:fldCharType="end"/>
        </w:r>
      </w:hyperlink>
    </w:p>
    <w:p w14:paraId="2D2F137D" w14:textId="52E0A827"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780C5B">
          <w:rPr>
            <w:noProof/>
            <w:webHidden/>
          </w:rPr>
          <w:t>33</w:t>
        </w:r>
        <w:r>
          <w:rPr>
            <w:noProof/>
            <w:webHidden/>
          </w:rPr>
          <w:fldChar w:fldCharType="end"/>
        </w:r>
      </w:hyperlink>
    </w:p>
    <w:p w14:paraId="020B6A92" w14:textId="7E9885EB"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780C5B">
          <w:rPr>
            <w:noProof/>
            <w:webHidden/>
          </w:rPr>
          <w:t>33</w:t>
        </w:r>
        <w:r>
          <w:rPr>
            <w:noProof/>
            <w:webHidden/>
          </w:rPr>
          <w:fldChar w:fldCharType="end"/>
        </w:r>
      </w:hyperlink>
    </w:p>
    <w:p w14:paraId="0B041372" w14:textId="6068CE36"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780C5B">
          <w:rPr>
            <w:noProof/>
            <w:webHidden/>
          </w:rPr>
          <w:t>34</w:t>
        </w:r>
        <w:r>
          <w:rPr>
            <w:noProof/>
            <w:webHidden/>
          </w:rPr>
          <w:fldChar w:fldCharType="end"/>
        </w:r>
      </w:hyperlink>
    </w:p>
    <w:p w14:paraId="366ABCEE" w14:textId="5518A00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780C5B">
          <w:rPr>
            <w:noProof/>
            <w:webHidden/>
          </w:rPr>
          <w:t>37</w:t>
        </w:r>
        <w:r>
          <w:rPr>
            <w:noProof/>
            <w:webHidden/>
          </w:rPr>
          <w:fldChar w:fldCharType="end"/>
        </w:r>
      </w:hyperlink>
    </w:p>
    <w:p w14:paraId="37DECFFE" w14:textId="0CA87315"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780C5B">
          <w:rPr>
            <w:noProof/>
            <w:webHidden/>
          </w:rPr>
          <w:t>39</w:t>
        </w:r>
        <w:r>
          <w:rPr>
            <w:noProof/>
            <w:webHidden/>
          </w:rPr>
          <w:fldChar w:fldCharType="end"/>
        </w:r>
      </w:hyperlink>
    </w:p>
    <w:p w14:paraId="79DE1026" w14:textId="65D88A78"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780C5B">
          <w:rPr>
            <w:noProof/>
            <w:webHidden/>
          </w:rPr>
          <w:t>41</w:t>
        </w:r>
        <w:r>
          <w:rPr>
            <w:noProof/>
            <w:webHidden/>
          </w:rPr>
          <w:fldChar w:fldCharType="end"/>
        </w:r>
      </w:hyperlink>
    </w:p>
    <w:p w14:paraId="571E6994" w14:textId="54F781EF"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780C5B">
          <w:rPr>
            <w:noProof/>
            <w:webHidden/>
          </w:rPr>
          <w:t>41</w:t>
        </w:r>
        <w:r>
          <w:rPr>
            <w:noProof/>
            <w:webHidden/>
          </w:rPr>
          <w:fldChar w:fldCharType="end"/>
        </w:r>
      </w:hyperlink>
    </w:p>
    <w:p w14:paraId="44C542A2" w14:textId="656D6D3F"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780C5B">
          <w:rPr>
            <w:noProof/>
            <w:webHidden/>
          </w:rPr>
          <w:t>46</w:t>
        </w:r>
        <w:r>
          <w:rPr>
            <w:noProof/>
            <w:webHidden/>
          </w:rPr>
          <w:fldChar w:fldCharType="end"/>
        </w:r>
      </w:hyperlink>
    </w:p>
    <w:p w14:paraId="5E9A21F5" w14:textId="02B4F052"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780C5B">
          <w:rPr>
            <w:noProof/>
            <w:webHidden/>
          </w:rPr>
          <w:t>49</w:t>
        </w:r>
        <w:r>
          <w:rPr>
            <w:noProof/>
            <w:webHidden/>
          </w:rPr>
          <w:fldChar w:fldCharType="end"/>
        </w:r>
      </w:hyperlink>
    </w:p>
    <w:p w14:paraId="5A159D6D" w14:textId="6EA2F3BF"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780C5B">
          <w:rPr>
            <w:noProof/>
            <w:webHidden/>
          </w:rPr>
          <w:t>50</w:t>
        </w:r>
        <w:r>
          <w:rPr>
            <w:noProof/>
            <w:webHidden/>
          </w:rPr>
          <w:fldChar w:fldCharType="end"/>
        </w:r>
      </w:hyperlink>
    </w:p>
    <w:p w14:paraId="0A454E3F" w14:textId="1AE43244"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780C5B">
          <w:rPr>
            <w:noProof/>
            <w:webHidden/>
          </w:rPr>
          <w:t>51</w:t>
        </w:r>
        <w:r>
          <w:rPr>
            <w:noProof/>
            <w:webHidden/>
          </w:rPr>
          <w:fldChar w:fldCharType="end"/>
        </w:r>
      </w:hyperlink>
    </w:p>
    <w:p w14:paraId="1FD76CBA" w14:textId="3EBEB073"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780C5B">
          <w:rPr>
            <w:noProof/>
            <w:webHidden/>
          </w:rPr>
          <w:t>51</w:t>
        </w:r>
        <w:r>
          <w:rPr>
            <w:noProof/>
            <w:webHidden/>
          </w:rPr>
          <w:fldChar w:fldCharType="end"/>
        </w:r>
      </w:hyperlink>
    </w:p>
    <w:p w14:paraId="2672EAFF" w14:textId="469C1E4C"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780C5B">
          <w:rPr>
            <w:noProof/>
            <w:webHidden/>
          </w:rPr>
          <w:t>52</w:t>
        </w:r>
        <w:r>
          <w:rPr>
            <w:noProof/>
            <w:webHidden/>
          </w:rPr>
          <w:fldChar w:fldCharType="end"/>
        </w:r>
      </w:hyperlink>
    </w:p>
    <w:p w14:paraId="21AE00CB" w14:textId="1F945162"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780C5B">
          <w:rPr>
            <w:noProof/>
            <w:webHidden/>
          </w:rPr>
          <w:t>53</w:t>
        </w:r>
        <w:r>
          <w:rPr>
            <w:noProof/>
            <w:webHidden/>
          </w:rPr>
          <w:fldChar w:fldCharType="end"/>
        </w:r>
      </w:hyperlink>
    </w:p>
    <w:p w14:paraId="2B614284" w14:textId="432E3050"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780C5B">
          <w:rPr>
            <w:noProof/>
            <w:webHidden/>
          </w:rPr>
          <w:t>54</w:t>
        </w:r>
        <w:r>
          <w:rPr>
            <w:noProof/>
            <w:webHidden/>
          </w:rPr>
          <w:fldChar w:fldCharType="end"/>
        </w:r>
      </w:hyperlink>
    </w:p>
    <w:p w14:paraId="4D418277" w14:textId="495CB83B"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780C5B">
          <w:rPr>
            <w:noProof/>
            <w:webHidden/>
          </w:rPr>
          <w:t>57</w:t>
        </w:r>
        <w:r>
          <w:rPr>
            <w:noProof/>
            <w:webHidden/>
          </w:rPr>
          <w:fldChar w:fldCharType="end"/>
        </w:r>
      </w:hyperlink>
    </w:p>
    <w:p w14:paraId="6536F821" w14:textId="008F8C59"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780C5B">
          <w:rPr>
            <w:noProof/>
            <w:webHidden/>
          </w:rPr>
          <w:t>57</w:t>
        </w:r>
        <w:r>
          <w:rPr>
            <w:noProof/>
            <w:webHidden/>
          </w:rPr>
          <w:fldChar w:fldCharType="end"/>
        </w:r>
      </w:hyperlink>
    </w:p>
    <w:p w14:paraId="08D9EF38" w14:textId="2D676623"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780C5B">
          <w:rPr>
            <w:noProof/>
            <w:webHidden/>
          </w:rPr>
          <w:t>62</w:t>
        </w:r>
        <w:r>
          <w:rPr>
            <w:noProof/>
            <w:webHidden/>
          </w:rPr>
          <w:fldChar w:fldCharType="end"/>
        </w:r>
      </w:hyperlink>
    </w:p>
    <w:p w14:paraId="2BBAFA08" w14:textId="33735D58"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780C5B">
          <w:rPr>
            <w:noProof/>
            <w:webHidden/>
          </w:rPr>
          <w:t>63</w:t>
        </w:r>
        <w:r>
          <w:rPr>
            <w:noProof/>
            <w:webHidden/>
          </w:rPr>
          <w:fldChar w:fldCharType="end"/>
        </w:r>
      </w:hyperlink>
    </w:p>
    <w:p w14:paraId="3F16D1B5" w14:textId="45EC1898"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780C5B">
          <w:rPr>
            <w:noProof/>
            <w:webHidden/>
          </w:rPr>
          <w:t>65</w:t>
        </w:r>
        <w:r>
          <w:rPr>
            <w:noProof/>
            <w:webHidden/>
          </w:rPr>
          <w:fldChar w:fldCharType="end"/>
        </w:r>
      </w:hyperlink>
    </w:p>
    <w:p w14:paraId="6977ED8F" w14:textId="5DA9DE5C"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780C5B">
          <w:rPr>
            <w:noProof/>
            <w:webHidden/>
          </w:rPr>
          <w:t>65</w:t>
        </w:r>
        <w:r>
          <w:rPr>
            <w:noProof/>
            <w:webHidden/>
          </w:rPr>
          <w:fldChar w:fldCharType="end"/>
        </w:r>
      </w:hyperlink>
    </w:p>
    <w:p w14:paraId="38E17ADD" w14:textId="005A7D10"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780C5B">
          <w:rPr>
            <w:noProof/>
            <w:webHidden/>
          </w:rPr>
          <w:t>69</w:t>
        </w:r>
        <w:r>
          <w:rPr>
            <w:noProof/>
            <w:webHidden/>
          </w:rPr>
          <w:fldChar w:fldCharType="end"/>
        </w:r>
      </w:hyperlink>
    </w:p>
    <w:p w14:paraId="3D334A0D" w14:textId="06571A48"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780C5B">
          <w:rPr>
            <w:noProof/>
            <w:webHidden/>
          </w:rPr>
          <w:t>72</w:t>
        </w:r>
        <w:r>
          <w:rPr>
            <w:noProof/>
            <w:webHidden/>
          </w:rPr>
          <w:fldChar w:fldCharType="end"/>
        </w:r>
      </w:hyperlink>
    </w:p>
    <w:p w14:paraId="73AC9F6C" w14:textId="209F8B32"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780C5B">
          <w:rPr>
            <w:noProof/>
            <w:webHidden/>
          </w:rPr>
          <w:t>73</w:t>
        </w:r>
        <w:r>
          <w:rPr>
            <w:noProof/>
            <w:webHidden/>
          </w:rPr>
          <w:fldChar w:fldCharType="end"/>
        </w:r>
      </w:hyperlink>
    </w:p>
    <w:p w14:paraId="406CF61C" w14:textId="0D67CC76"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780C5B">
          <w:rPr>
            <w:noProof/>
            <w:webHidden/>
          </w:rPr>
          <w:t>75</w:t>
        </w:r>
        <w:r>
          <w:rPr>
            <w:noProof/>
            <w:webHidden/>
          </w:rPr>
          <w:fldChar w:fldCharType="end"/>
        </w:r>
      </w:hyperlink>
    </w:p>
    <w:p w14:paraId="2F2A5E06" w14:textId="51F91C97"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780C5B">
          <w:rPr>
            <w:noProof/>
            <w:webHidden/>
          </w:rPr>
          <w:t>75</w:t>
        </w:r>
        <w:r>
          <w:rPr>
            <w:noProof/>
            <w:webHidden/>
          </w:rPr>
          <w:fldChar w:fldCharType="end"/>
        </w:r>
      </w:hyperlink>
    </w:p>
    <w:p w14:paraId="0765DB75" w14:textId="67A8B278"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780C5B">
          <w:rPr>
            <w:noProof/>
            <w:webHidden/>
          </w:rPr>
          <w:t>80</w:t>
        </w:r>
        <w:r>
          <w:rPr>
            <w:noProof/>
            <w:webHidden/>
          </w:rPr>
          <w:fldChar w:fldCharType="end"/>
        </w:r>
      </w:hyperlink>
    </w:p>
    <w:p w14:paraId="69A0D1B9" w14:textId="48B235A1"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780C5B">
          <w:rPr>
            <w:noProof/>
            <w:webHidden/>
          </w:rPr>
          <w:t>82</w:t>
        </w:r>
        <w:r>
          <w:rPr>
            <w:noProof/>
            <w:webHidden/>
          </w:rPr>
          <w:fldChar w:fldCharType="end"/>
        </w:r>
      </w:hyperlink>
    </w:p>
    <w:p w14:paraId="599A8537" w14:textId="26434515"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780C5B">
          <w:rPr>
            <w:noProof/>
            <w:webHidden/>
          </w:rPr>
          <w:t>84</w:t>
        </w:r>
        <w:r>
          <w:rPr>
            <w:noProof/>
            <w:webHidden/>
          </w:rPr>
          <w:fldChar w:fldCharType="end"/>
        </w:r>
      </w:hyperlink>
    </w:p>
    <w:p w14:paraId="17F5751C" w14:textId="7F45A05E"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780C5B">
          <w:rPr>
            <w:noProof/>
            <w:webHidden/>
          </w:rPr>
          <w:t>87</w:t>
        </w:r>
        <w:r>
          <w:rPr>
            <w:noProof/>
            <w:webHidden/>
          </w:rPr>
          <w:fldChar w:fldCharType="end"/>
        </w:r>
      </w:hyperlink>
    </w:p>
    <w:p w14:paraId="3E9A7CC0" w14:textId="2B8788E5"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780C5B">
          <w:rPr>
            <w:noProof/>
            <w:webHidden/>
          </w:rPr>
          <w:t>89</w:t>
        </w:r>
        <w:r>
          <w:rPr>
            <w:noProof/>
            <w:webHidden/>
          </w:rPr>
          <w:fldChar w:fldCharType="end"/>
        </w:r>
      </w:hyperlink>
    </w:p>
    <w:p w14:paraId="47B0B9D3" w14:textId="2F4218A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780C5B">
          <w:rPr>
            <w:noProof/>
            <w:webHidden/>
          </w:rPr>
          <w:t>91</w:t>
        </w:r>
        <w:r>
          <w:rPr>
            <w:noProof/>
            <w:webHidden/>
          </w:rPr>
          <w:fldChar w:fldCharType="end"/>
        </w:r>
      </w:hyperlink>
    </w:p>
    <w:p w14:paraId="61D5B8F4" w14:textId="5391B647"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780C5B">
          <w:rPr>
            <w:noProof/>
            <w:webHidden/>
          </w:rPr>
          <w:t>91</w:t>
        </w:r>
        <w:r>
          <w:rPr>
            <w:noProof/>
            <w:webHidden/>
          </w:rPr>
          <w:fldChar w:fldCharType="end"/>
        </w:r>
      </w:hyperlink>
    </w:p>
    <w:p w14:paraId="5F2558A8" w14:textId="69748DDC"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780C5B">
          <w:rPr>
            <w:noProof/>
            <w:webHidden/>
          </w:rPr>
          <w:t>95</w:t>
        </w:r>
        <w:r>
          <w:rPr>
            <w:noProof/>
            <w:webHidden/>
          </w:rPr>
          <w:fldChar w:fldCharType="end"/>
        </w:r>
      </w:hyperlink>
    </w:p>
    <w:p w14:paraId="36C71413" w14:textId="54E37BD4"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780C5B">
          <w:rPr>
            <w:noProof/>
            <w:webHidden/>
          </w:rPr>
          <w:t>98</w:t>
        </w:r>
        <w:r>
          <w:rPr>
            <w:noProof/>
            <w:webHidden/>
          </w:rPr>
          <w:fldChar w:fldCharType="end"/>
        </w:r>
      </w:hyperlink>
    </w:p>
    <w:p w14:paraId="0E59FE16" w14:textId="78023390"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780C5B">
          <w:rPr>
            <w:noProof/>
            <w:webHidden/>
          </w:rPr>
          <w:t>99</w:t>
        </w:r>
        <w:r>
          <w:rPr>
            <w:noProof/>
            <w:webHidden/>
          </w:rPr>
          <w:fldChar w:fldCharType="end"/>
        </w:r>
      </w:hyperlink>
    </w:p>
    <w:p w14:paraId="2D755C06" w14:textId="7DD5D676"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780C5B">
          <w:rPr>
            <w:noProof/>
            <w:webHidden/>
          </w:rPr>
          <w:t>99</w:t>
        </w:r>
        <w:r>
          <w:rPr>
            <w:noProof/>
            <w:webHidden/>
          </w:rPr>
          <w:fldChar w:fldCharType="end"/>
        </w:r>
      </w:hyperlink>
    </w:p>
    <w:p w14:paraId="0A581758" w14:textId="56185FA2"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780C5B">
          <w:rPr>
            <w:noProof/>
            <w:webHidden/>
          </w:rPr>
          <w:t>107</w:t>
        </w:r>
        <w:r>
          <w:rPr>
            <w:noProof/>
            <w:webHidden/>
          </w:rPr>
          <w:fldChar w:fldCharType="end"/>
        </w:r>
      </w:hyperlink>
    </w:p>
    <w:p w14:paraId="7084312E" w14:textId="719E3AFF"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780C5B">
          <w:rPr>
            <w:noProof/>
            <w:webHidden/>
          </w:rPr>
          <w:t>108</w:t>
        </w:r>
        <w:r>
          <w:rPr>
            <w:noProof/>
            <w:webHidden/>
          </w:rPr>
          <w:fldChar w:fldCharType="end"/>
        </w:r>
      </w:hyperlink>
    </w:p>
    <w:p w14:paraId="1A5FA3FB" w14:textId="62B9A0FC"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780C5B">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30D153F0" w:rsidR="00093CA9" w:rsidRDefault="002479A2" w:rsidP="00093CA9">
            <w:r>
              <w:t>Dentons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FE9723D" w:rsidR="00093CA9" w:rsidRDefault="00287C1D" w:rsidP="00093CA9">
            <w:r>
              <w:t>UAE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73DCC471" w:rsidR="00093CA9" w:rsidRDefault="001351D0" w:rsidP="00093CA9">
            <w:r w:rsidRPr="001351D0">
              <w:t>UAE Sustainable Finance Working Group – Principles for Sustainability-Related Disclosures for Reporting Entities 2024</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74DBB9C1" w:rsidR="00093CA9" w:rsidRDefault="002510AA" w:rsidP="00093CA9">
            <w:hyperlink r:id="rId17" w:history="1">
              <w:r w:rsidRPr="002510AA">
                <w:rPr>
                  <w:rStyle w:val="Hyperlink"/>
                </w:rPr>
                <w:t xml:space="preserve">Sustainable Finance Working </w:t>
              </w:r>
              <w:proofErr w:type="gramStart"/>
              <w:r w:rsidRPr="002510AA">
                <w:rPr>
                  <w:rStyle w:val="Hyperlink"/>
                </w:rPr>
                <w:t>Group  -</w:t>
              </w:r>
              <w:proofErr w:type="gramEnd"/>
              <w:r w:rsidRPr="002510AA">
                <w:rPr>
                  <w:rStyle w:val="Hyperlink"/>
                </w:rPr>
                <w:t xml:space="preserve"> Principles for Sustainability related disclosures for reporting entities 2024.pdf</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63C2A990" w:rsidR="00093CA9" w:rsidRDefault="004A4C45"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48158C0A"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6121ABA4"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0DBC0302" w:rsidR="00093CA9" w:rsidRDefault="001351D0"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64EA5D29" w:rsidR="00093CA9" w:rsidRDefault="00EE37B6" w:rsidP="00EE37B6">
            <w:r w:rsidRPr="00EE37B6">
              <w:t>The UAE Sustainable Finance Working Group’s “Principles for Sustainability-Related Disclosures for Reporting Entities 2024” is a policy tool designed to promote transparency and consistency in how organizations disclose their sustainability practices and performance. Its main goal is to encourage entities to adopt recognized disclosure frameworks and move toward full implementation of prevailing standards, supporting the UAE’s Net Zero Strategy. The principles focus on ensuring that disclosures are clear, comparable, and timely, making them useful for assessing climate-related risks and opportunities. This policy is relevant to climate-related disclosure and prudential tools as it aligns with international best practices and strengthens the financial system’s resilience to climate risks</w:t>
            </w:r>
            <w:r>
              <w:t>.</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7777777" w:rsidR="00093CA9" w:rsidRDefault="00093CA9" w:rsidP="00093CA9"/>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0E04E017" w:rsidR="00093CA9" w:rsidRDefault="00EE37B6" w:rsidP="00093CA9">
            <w:r>
              <w:t>X</w:t>
            </w:r>
          </w:p>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21A3A6CB" w:rsidR="00093CA9" w:rsidRDefault="00EE37B6" w:rsidP="00EE37B6">
            <w:r w:rsidRPr="00EE37B6">
              <w:t xml:space="preserve">The </w:t>
            </w:r>
            <w:r>
              <w:t>policy tool</w:t>
            </w:r>
            <w:r w:rsidRPr="00EE37B6">
              <w:t xml:space="preserve"> explicitly states that while the principles are endorsed by all members of the Working Group, each regulatory authority in the UAE (such as the Central Bank, Securities and Commodities Authority, or financial free zone regulators) has the autonomy to decide how these principles are implemented within their own jurisdiction.</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2548B32A" w:rsidR="00093CA9" w:rsidRPr="00173D7C" w:rsidRDefault="00EE37B6" w:rsidP="00093CA9">
            <w:pPr>
              <w:rPr>
                <w:color w:val="000000" w:themeColor="text1"/>
              </w:rPr>
            </w:pPr>
            <w:r>
              <w:rPr>
                <w:color w:val="000000" w:themeColor="text1"/>
              </w:rPr>
              <w:t>2024</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39C5A77C" w:rsidR="00093CA9" w:rsidRDefault="00EE37B6" w:rsidP="00093CA9">
            <w:r>
              <w:t xml:space="preserve">The policy tool is </w:t>
            </w:r>
            <w:r w:rsidRPr="00EA2AE6">
              <w:t>authorised and overseen by the UAE Sustainable Finance Working Group (</w:t>
            </w:r>
            <w:r w:rsidRPr="00EA2AE6">
              <w:rPr>
                <w:b/>
                <w:bCs/>
              </w:rPr>
              <w:t>SFWG</w:t>
            </w:r>
            <w:r w:rsidRPr="00EA2AE6">
              <w:t>). This group comprises key UAE government ministries (such as the Ministry of Finance, Ministry of Economy, and Ministry of Climate Change and Environment), financial regulators (including the Central Bank of the UAE, Securities and Commodities Authority, Financial Services Regulatory Authority of ADGM, and Dubai Financial Services Authority), and UAE securities exchanges (Abu Dhabi Securities Exchange, Dubai Financial Market, and Nasdaq Dubai).</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7777777" w:rsidR="00093CA9" w:rsidRPr="006B7B0D" w:rsidRDefault="00093CA9" w:rsidP="00093CA9"/>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1F95ECF6" w:rsidR="00093CA9" w:rsidRPr="006B7B0D" w:rsidRDefault="00EE37B6"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66C866C4"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4B1291AE" w:rsidR="00093CA9" w:rsidRDefault="00EE37B6"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4B9DE705" w14:textId="39B25000" w:rsidR="005836AC" w:rsidRPr="005836AC" w:rsidRDefault="005836AC" w:rsidP="005836AC">
            <w:pPr>
              <w:keepNext/>
              <w:rPr>
                <w:color w:val="000000" w:themeColor="text1"/>
              </w:rPr>
            </w:pPr>
            <w:r w:rsidRPr="005836AC">
              <w:rPr>
                <w:color w:val="000000" w:themeColor="text1"/>
              </w:rPr>
              <w:t xml:space="preserve">The policy tool establishes that monitoring systems are expected to be in place to oversee the implementation of sustainability-related disclosures. Specifically, it states that the members of the UAE </w:t>
            </w:r>
            <w:r>
              <w:rPr>
                <w:color w:val="000000" w:themeColor="text1"/>
              </w:rPr>
              <w:t>SFWG</w:t>
            </w:r>
            <w:r w:rsidRPr="005836AC">
              <w:rPr>
                <w:color w:val="000000" w:themeColor="text1"/>
              </w:rPr>
              <w:t xml:space="preserve"> will track how reporting entities use and implement the relevant ESG disclosure frameworks, utilizing appropriate regulatory tools as needed (Section D: Implementation, paragraph 12).</w:t>
            </w:r>
          </w:p>
          <w:p w14:paraId="2C2128DB" w14:textId="0E715957" w:rsidR="00093CA9" w:rsidRPr="008017F9" w:rsidRDefault="005836AC" w:rsidP="005836AC">
            <w:pPr>
              <w:keepNext/>
              <w:rPr>
                <w:color w:val="000000" w:themeColor="text1"/>
              </w:rPr>
            </w:pPr>
            <w:r>
              <w:rPr>
                <w:color w:val="000000" w:themeColor="text1"/>
              </w:rPr>
              <w:t>The</w:t>
            </w:r>
            <w:r w:rsidRPr="005836AC">
              <w:rPr>
                <w:color w:val="000000" w:themeColor="text1"/>
              </w:rPr>
              <w:t xml:space="preserve"> policy gives each regulatory authority the flexibility to determine the specifics of these monitoring systems. This includes decisions about how often entities must report, whether disclosures are voluntary, “comply or explain,” or mandatory, and the timeline for implementation (Section C: Application of the Principles, paragraph 10).</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5FAB7B17" w:rsidR="00CF5268" w:rsidRDefault="005836AC" w:rsidP="00DD3144">
            <w:r>
              <w:t>X</w:t>
            </w:r>
          </w:p>
        </w:tc>
        <w:tc>
          <w:tcPr>
            <w:tcW w:w="1447" w:type="dxa"/>
            <w:vAlign w:val="center"/>
          </w:tcPr>
          <w:p w14:paraId="592977B8" w14:textId="509E08D5" w:rsidR="00CF5268" w:rsidRDefault="005836AC" w:rsidP="00DD3144">
            <w:r>
              <w:t>X</w:t>
            </w:r>
          </w:p>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8CE57AC" w:rsidR="00C35794" w:rsidRDefault="005836AC" w:rsidP="005836AC">
            <w:r w:rsidRPr="005836AC">
              <w:t>Based on the policy tool, the “Principles for Sustainability-Related Disclosures for Reporting Entities 2024” do not set a single, universal requirement for all entity types. Instead, the policy gives each UAE regulatory authority discretion to decide whether disclosure is mandatory, voluntary, or subject to a “comply or explain” approach for different types of entities (Section C, paragraph 10). Therefore, the targeting of each entity type may vary depending on the authority’s implementation.</w:t>
            </w:r>
          </w:p>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1AA5CFE2" w:rsidR="004B2D74" w:rsidRDefault="005836AC" w:rsidP="00DD3144">
            <w:r>
              <w:t>X</w:t>
            </w:r>
          </w:p>
        </w:tc>
        <w:tc>
          <w:tcPr>
            <w:tcW w:w="1447" w:type="dxa"/>
            <w:vAlign w:val="center"/>
          </w:tcPr>
          <w:p w14:paraId="2D9BB3C0" w14:textId="6EAAE4B6" w:rsidR="004B2D74" w:rsidRDefault="005836AC" w:rsidP="00DD3144">
            <w:r>
              <w:t>X</w:t>
            </w:r>
          </w:p>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37F3C41A" w:rsidR="00C35794" w:rsidRDefault="00FC6C45" w:rsidP="00FC6C45">
            <w:r>
              <w:t>T</w:t>
            </w:r>
            <w:r w:rsidRPr="00FC6C45">
              <w:t xml:space="preserve">he policy </w:t>
            </w:r>
            <w:r>
              <w:t xml:space="preserve">tool </w:t>
            </w:r>
            <w:r w:rsidRPr="00FC6C45">
              <w:t xml:space="preserve">allows each authority to decide whether to make disclosure requirements mandatory, voluntary, or “comply or explain” for each type of reporting entity. </w:t>
            </w:r>
          </w:p>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0A3996"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287C1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287C1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9F078F"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9F078F"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6D3391"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5B7508D" w14:textId="77777777" w:rsidR="004A387E" w:rsidRDefault="004A387E" w:rsidP="00874E39">
      <w:r>
        <w:separator/>
      </w:r>
    </w:p>
  </w:endnote>
  <w:endnote w:type="continuationSeparator" w:id="0">
    <w:p w14:paraId="7C88F3FC" w14:textId="77777777" w:rsidR="004A387E" w:rsidRDefault="004A387E" w:rsidP="00874E39">
      <w:r>
        <w:continuationSeparator/>
      </w:r>
    </w:p>
  </w:endnote>
  <w:endnote w:type="continuationNotice" w:id="1">
    <w:p w14:paraId="337D7050" w14:textId="77777777" w:rsidR="004A387E" w:rsidRDefault="004A387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64AB43E" w14:textId="77777777" w:rsidR="004A387E" w:rsidRDefault="004A387E" w:rsidP="00874E39">
      <w:r>
        <w:separator/>
      </w:r>
    </w:p>
  </w:footnote>
  <w:footnote w:type="continuationSeparator" w:id="0">
    <w:p w14:paraId="01874CC0" w14:textId="77777777" w:rsidR="004A387E" w:rsidRDefault="004A387E" w:rsidP="00874E39">
      <w:r>
        <w:continuationSeparator/>
      </w:r>
    </w:p>
  </w:footnote>
  <w:footnote w:type="continuationNotice" w:id="1">
    <w:p w14:paraId="6C421A6E" w14:textId="77777777" w:rsidR="004A387E" w:rsidRDefault="004A387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7"/>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996"/>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3A0E"/>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51D0"/>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9A2"/>
    <w:rsid w:val="00247DE7"/>
    <w:rsid w:val="002500FA"/>
    <w:rsid w:val="00250ED8"/>
    <w:rsid w:val="00250F54"/>
    <w:rsid w:val="002510AA"/>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87C1D"/>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387E"/>
    <w:rsid w:val="004A4C45"/>
    <w:rsid w:val="004A4C51"/>
    <w:rsid w:val="004A4E0A"/>
    <w:rsid w:val="004A54B3"/>
    <w:rsid w:val="004A6D34"/>
    <w:rsid w:val="004A7899"/>
    <w:rsid w:val="004A7CD9"/>
    <w:rsid w:val="004B001A"/>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36AC"/>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0C5B"/>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4B4"/>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078F"/>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7F8"/>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C781D"/>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37B6"/>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C45"/>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47930777">
      <w:bodyDiv w:val="1"/>
      <w:marLeft w:val="0"/>
      <w:marRight w:val="0"/>
      <w:marTop w:val="0"/>
      <w:marBottom w:val="0"/>
      <w:divBdr>
        <w:top w:val="none" w:sz="0" w:space="0" w:color="auto"/>
        <w:left w:val="none" w:sz="0" w:space="0" w:color="auto"/>
        <w:bottom w:val="none" w:sz="0" w:space="0" w:color="auto"/>
        <w:right w:val="none" w:sz="0" w:space="0" w:color="auto"/>
      </w:divBdr>
    </w:div>
    <w:div w:id="268003064">
      <w:bodyDiv w:val="1"/>
      <w:marLeft w:val="0"/>
      <w:marRight w:val="0"/>
      <w:marTop w:val="0"/>
      <w:marBottom w:val="0"/>
      <w:divBdr>
        <w:top w:val="none" w:sz="0" w:space="0" w:color="auto"/>
        <w:left w:val="none" w:sz="0" w:space="0" w:color="auto"/>
        <w:bottom w:val="none" w:sz="0" w:space="0" w:color="auto"/>
        <w:right w:val="none" w:sz="0" w:space="0" w:color="auto"/>
      </w:divBdr>
    </w:div>
    <w:div w:id="268436377">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80993005">
      <w:bodyDiv w:val="1"/>
      <w:marLeft w:val="0"/>
      <w:marRight w:val="0"/>
      <w:marTop w:val="0"/>
      <w:marBottom w:val="0"/>
      <w:divBdr>
        <w:top w:val="none" w:sz="0" w:space="0" w:color="auto"/>
        <w:left w:val="none" w:sz="0" w:space="0" w:color="auto"/>
        <w:bottom w:val="none" w:sz="0" w:space="0" w:color="auto"/>
        <w:right w:val="none" w:sz="0" w:space="0" w:color="auto"/>
      </w:divBdr>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01788501">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8025034">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0270771">
      <w:bodyDiv w:val="1"/>
      <w:marLeft w:val="0"/>
      <w:marRight w:val="0"/>
      <w:marTop w:val="0"/>
      <w:marBottom w:val="0"/>
      <w:divBdr>
        <w:top w:val="none" w:sz="0" w:space="0" w:color="auto"/>
        <w:left w:val="none" w:sz="0" w:space="0" w:color="auto"/>
        <w:bottom w:val="none" w:sz="0" w:space="0" w:color="auto"/>
        <w:right w:val="none" w:sz="0" w:space="0" w:color="auto"/>
      </w:divBdr>
    </w:div>
    <w:div w:id="1471091880">
      <w:bodyDiv w:val="1"/>
      <w:marLeft w:val="0"/>
      <w:marRight w:val="0"/>
      <w:marTop w:val="0"/>
      <w:marBottom w:val="0"/>
      <w:divBdr>
        <w:top w:val="none" w:sz="0" w:space="0" w:color="auto"/>
        <w:left w:val="none" w:sz="0" w:space="0" w:color="auto"/>
        <w:bottom w:val="none" w:sz="0" w:space="0" w:color="auto"/>
        <w:right w:val="none" w:sz="0" w:space="0" w:color="auto"/>
      </w:divBdr>
    </w:div>
    <w:div w:id="1622494862">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15649359">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Sustainable%20Finance%20Working%20Group%20%20-%20Principles%20for%20Sustainability%20related%20disclosures%20for%20reporting%20entities%202024.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34</TotalTime>
  <Pages>111</Pages>
  <Words>23255</Words>
  <Characters>125813</Characters>
  <Application>Microsoft Office Word</Application>
  <DocSecurity>0</DocSecurity>
  <Lines>5032</Lines>
  <Paragraphs>2922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146146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Dentons</cp:lastModifiedBy>
  <cp:revision>3</cp:revision>
  <cp:lastPrinted>2025-03-21T00:14:00Z</cp:lastPrinted>
  <dcterms:created xsi:type="dcterms:W3CDTF">2025-07-30T07:35:00Z</dcterms:created>
  <dcterms:modified xsi:type="dcterms:W3CDTF">2025-07-30T08:10:00Z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